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7320E7">
                              <w:rPr>
                                <w:rFonts w:ascii="Calibri" w:hAnsi="Calibri"/>
                                <w:color w:val="D9D9D9" w:themeColor="background1" w:themeShade="D9"/>
                                <w:sz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7320E7">
                        <w:rPr>
                          <w:rFonts w:ascii="Calibri" w:hAnsi="Calibri"/>
                          <w:color w:val="D9D9D9" w:themeColor="background1" w:themeShade="D9"/>
                          <w:sz w:val="18"/>
                        </w:rPr>
                        <w:t>5</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w:t>
      </w:r>
      <w:r>
        <w:rPr>
          <w:rFonts w:ascii="Arial" w:hAnsi="Arial" w:cs="Arial"/>
          <w:sz w:val="20"/>
          <w:szCs w:val="20"/>
        </w:rPr>
        <w:lastRenderedPageBreak/>
        <w:t xml:space="preserve">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 xml:space="preserve">ot of the essence for this paragraph of this agreement and you agree that we shall Not be liable to you for delays in completing our documents (or those of others) and our other activities for your </w:t>
      </w:r>
      <w:r w:rsidR="00E708A5" w:rsidRPr="00B1617E">
        <w:rPr>
          <w:rFonts w:ascii="Arial" w:hAnsi="Arial" w:cs="Arial"/>
          <w:sz w:val="20"/>
          <w:szCs w:val="20"/>
        </w:rPr>
        <w:lastRenderedPageBreak/>
        <w:t>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7320E7" w:rsidRDefault="007320E7" w:rsidP="007320E7">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Pr="007320E7">
        <w:rPr>
          <w:rFonts w:ascii="Arial" w:hAnsi="Arial" w:cs="Arial"/>
          <w:sz w:val="20"/>
          <w:szCs w:val="20"/>
        </w:rPr>
        <w:t>you accept that when you allow us to continue on to other drawings &amp; activities of the project, that you are approving the work</w:t>
      </w:r>
      <w:r w:rsidR="006D5595">
        <w:rPr>
          <w:rFonts w:ascii="Arial" w:hAnsi="Arial" w:cs="Arial"/>
          <w:sz w:val="20"/>
          <w:szCs w:val="20"/>
        </w:rPr>
        <w:t xml:space="preserve"> &amp; choices</w:t>
      </w:r>
      <w:r w:rsidRPr="007320E7">
        <w:rPr>
          <w:rFonts w:ascii="Arial" w:hAnsi="Arial" w:cs="Arial"/>
          <w:sz w:val="20"/>
          <w:szCs w:val="20"/>
        </w:rPr>
        <w:t xml:space="preserve">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w:t>
      </w:r>
      <w:bookmarkStart w:id="0" w:name="_GoBack"/>
      <w:bookmarkEnd w:id="0"/>
      <w:r w:rsidRPr="007320E7">
        <w:rPr>
          <w:rFonts w:ascii="Arial" w:hAnsi="Arial" w:cs="Arial"/>
          <w:sz w:val="20"/>
          <w:szCs w:val="20"/>
        </w:rPr>
        <w:t>, then you will say so, understanding that you will pay us to create those options.  You understand that we, as your Architect, will be making hundreds, if not thousands of choices on your behalf. You will review those choices (which are shown in the design documents themselves) every time we issue you documents (typically electronically as PDFs) and you are agreeing to those choices if you do not ask for changes to them.</w:t>
      </w:r>
      <w:r>
        <w:rPr>
          <w:rFonts w:ascii="Arial" w:hAnsi="Arial" w:cs="Arial"/>
          <w:sz w:val="20"/>
          <w:szCs w:val="20"/>
        </w:rPr>
        <w:t xml:space="preserve"> </w:t>
      </w:r>
      <w:r w:rsidRPr="007320E7">
        <w:rPr>
          <w:rFonts w:ascii="Arial" w:hAnsi="Arial" w:cs="Arial"/>
          <w:sz w:val="20"/>
          <w:szCs w:val="20"/>
        </w:rPr>
        <w:t xml:space="preserve">Changes you request to the Floor Plans after this point, if we are on a fixed fee agreement </w:t>
      </w:r>
      <w:r w:rsidRPr="005D61AF">
        <w:rPr>
          <w:rFonts w:ascii="Arial" w:hAnsi="Arial" w:cs="Arial"/>
          <w:sz w:val="20"/>
          <w:szCs w:val="20"/>
        </w:rPr>
        <w:t xml:space="preserve">with you, will be accomplished as an additional services hourly charge.  This applies to any work item of ours that depends on previous work items being done that need to be adjusted prior to new work being done. If our services are hourly, you are welcome to request </w:t>
      </w:r>
      <w:r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Pr>
          <w:rFonts w:ascii="Arial" w:hAnsi="Arial" w:cs="Arial"/>
          <w:sz w:val="20"/>
          <w:szCs w:val="20"/>
        </w:rPr>
        <w:t xml:space="preserve"> (typically none, meaning that any and all changes will be charged hourly)</w:t>
      </w:r>
      <w:r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Pr>
          <w:rFonts w:ascii="Arial" w:hAnsi="Arial" w:cs="Arial"/>
          <w:sz w:val="20"/>
          <w:szCs w:val="20"/>
        </w:rPr>
        <w:t xml:space="preserve">  </w:t>
      </w:r>
      <w:r w:rsidRPr="00B1617E">
        <w:rPr>
          <w:rFonts w:ascii="Arial" w:hAnsi="Arial" w:cs="Arial"/>
          <w:sz w:val="20"/>
          <w:szCs w:val="20"/>
        </w:rPr>
        <w:t xml:space="preserve">We may or may not agree to modify whatever it is that you </w:t>
      </w:r>
      <w:r>
        <w:rPr>
          <w:rFonts w:ascii="Arial" w:hAnsi="Arial" w:cs="Arial"/>
          <w:sz w:val="20"/>
          <w:szCs w:val="20"/>
        </w:rPr>
        <w:t>want changed</w:t>
      </w:r>
      <w:r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Pr>
          <w:rFonts w:ascii="Arial" w:hAnsi="Arial" w:cs="Arial"/>
          <w:sz w:val="20"/>
          <w:szCs w:val="20"/>
        </w:rPr>
        <w:t xml:space="preserve">  We reserve the right to </w:t>
      </w:r>
      <w:proofErr w:type="gramStart"/>
      <w:r>
        <w:rPr>
          <w:rFonts w:ascii="Arial" w:hAnsi="Arial" w:cs="Arial"/>
          <w:sz w:val="20"/>
          <w:szCs w:val="20"/>
        </w:rPr>
        <w:t>Not</w:t>
      </w:r>
      <w:proofErr w:type="gramEnd"/>
      <w:r>
        <w:rPr>
          <w:rFonts w:ascii="Arial" w:hAnsi="Arial" w:cs="Arial"/>
          <w:sz w:val="20"/>
          <w:szCs w:val="20"/>
        </w:rPr>
        <w:t xml:space="preserve"> make changes you request if we believe those changes are not good practice.  You agree to </w:t>
      </w:r>
      <w:proofErr w:type="gramStart"/>
      <w:r>
        <w:rPr>
          <w:rFonts w:ascii="Arial" w:hAnsi="Arial" w:cs="Arial"/>
          <w:sz w:val="20"/>
          <w:szCs w:val="20"/>
        </w:rPr>
        <w:t>Not</w:t>
      </w:r>
      <w:proofErr w:type="gramEnd"/>
      <w:r>
        <w:rPr>
          <w:rFonts w:ascii="Arial" w:hAnsi="Arial" w:cs="Arial"/>
          <w:sz w:val="20"/>
          <w:szCs w:val="20"/>
        </w:rPr>
        <w:t xml:space="preserve"> take any actions against us as a result of such circumstances.  You </w:t>
      </w:r>
      <w:r>
        <w:rPr>
          <w:rFonts w:ascii="Arial" w:hAnsi="Arial" w:cs="Arial"/>
          <w:sz w:val="20"/>
          <w:szCs w:val="20"/>
        </w:rPr>
        <w:lastRenderedPageBreak/>
        <w:t xml:space="preserve">are accepting our judgment and our documents, details, systems and other choices we are making on your behalf for your project. </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lastRenderedPageBreak/>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9D1FDC">
        <w:rPr>
          <w:rFonts w:ascii="Arial" w:hAnsi="Arial" w:cs="Arial"/>
          <w:sz w:val="20"/>
          <w:szCs w:val="20"/>
          <w:u w:val="single"/>
        </w:rPr>
        <w:t xml:space="preserve">Our </w:t>
      </w:r>
      <w:r w:rsidR="008A5A2D">
        <w:rPr>
          <w:rFonts w:ascii="Arial" w:hAnsi="Arial" w:cs="Arial"/>
          <w:sz w:val="20"/>
          <w:szCs w:val="20"/>
          <w:u w:val="single"/>
        </w:rPr>
        <w:t>A</w:t>
      </w:r>
      <w:r w:rsidR="006E4645" w:rsidRPr="009D1FDC">
        <w:rPr>
          <w:rFonts w:ascii="Arial" w:hAnsi="Arial" w:cs="Arial"/>
          <w:sz w:val="20"/>
          <w:szCs w:val="20"/>
          <w:u w:val="single"/>
        </w:rPr>
        <w:t xml:space="preserve">rchitectural </w:t>
      </w:r>
      <w:r w:rsidR="008A5A2D">
        <w:rPr>
          <w:rFonts w:ascii="Arial" w:hAnsi="Arial" w:cs="Arial"/>
          <w:sz w:val="20"/>
          <w:szCs w:val="20"/>
          <w:u w:val="single"/>
        </w:rPr>
        <w:t>F</w:t>
      </w:r>
      <w:r w:rsidR="006E4645" w:rsidRPr="009D1FDC">
        <w:rPr>
          <w:rFonts w:ascii="Arial" w:hAnsi="Arial" w:cs="Arial"/>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w:t>
      </w:r>
      <w:r w:rsidR="00C91E6B" w:rsidRPr="00386D6D">
        <w:rPr>
          <w:rFonts w:ascii="Arial" w:hAnsi="Arial" w:cs="Arial"/>
          <w:sz w:val="20"/>
          <w:szCs w:val="20"/>
        </w:rPr>
        <w:lastRenderedPageBreak/>
        <w:t xml:space="preserve">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need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The parties</w:t>
      </w:r>
      <w:r w:rsidR="0094264A">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lastRenderedPageBreak/>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332FBF"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00D465F8">
        <w:rPr>
          <w:rFonts w:ascii="Arial" w:hAnsi="Arial" w:cs="Arial"/>
          <w:sz w:val="20"/>
          <w:szCs w:val="20"/>
        </w:rPr>
        <w:t>We determine</w:t>
      </w:r>
      <w:r w:rsidRPr="00B1617E">
        <w:rPr>
          <w:rFonts w:ascii="Arial" w:hAnsi="Arial" w:cs="Arial"/>
          <w:sz w:val="20"/>
          <w:szCs w:val="20"/>
        </w:rPr>
        <w:t xml:space="preserve"> what is in each phase of work &amp; what is on the drawings, specifications, &amp; other project documents we provide, using our software, systems, notes, dimensions, details, materials</w:t>
      </w:r>
      <w:r w:rsidR="00D465F8">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w:t>
      </w:r>
      <w:r w:rsidR="008C14BE">
        <w:rPr>
          <w:rFonts w:ascii="Arial" w:hAnsi="Arial" w:cs="Arial"/>
          <w:sz w:val="20"/>
          <w:szCs w:val="20"/>
        </w:rPr>
        <w:t xml:space="preserve">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0076592C">
        <w:rPr>
          <w:rFonts w:ascii="Arial" w:hAnsi="Arial" w:cs="Arial"/>
          <w:sz w:val="20"/>
          <w:szCs w:val="20"/>
        </w:rPr>
        <w:t xml:space="preserve">  We decide what is appropriate for each project and you agree to this.</w:t>
      </w:r>
      <w:r>
        <w:rPr>
          <w:rFonts w:ascii="Arial" w:hAnsi="Arial" w:cs="Arial"/>
          <w:sz w:val="20"/>
          <w:szCs w:val="20"/>
        </w:rPr>
        <w:t xml:space="preserve"> We 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w:t>
      </w:r>
      <w:r w:rsidR="00D04757">
        <w:rPr>
          <w:rFonts w:ascii="Arial" w:hAnsi="Arial" w:cs="Arial"/>
          <w:sz w:val="20"/>
          <w:szCs w:val="20"/>
        </w:rPr>
        <w:t xml:space="preserve"> You understand that while each project varies, during Basic Services, Construction Documents will almost always be where the bulk of our work is accomplished and where most of our hours will be spent</w:t>
      </w:r>
      <w:r w:rsidR="004A048A">
        <w:rPr>
          <w:rFonts w:ascii="Arial" w:hAnsi="Arial" w:cs="Arial"/>
          <w:sz w:val="20"/>
          <w:szCs w:val="20"/>
        </w:rPr>
        <w:t xml:space="preserve"> (see </w:t>
      </w:r>
      <w:r w:rsidR="004A048A" w:rsidRPr="00D904D5">
        <w:rPr>
          <w:rFonts w:ascii="Arial" w:hAnsi="Arial" w:cs="Arial"/>
          <w:color w:val="663300"/>
          <w:sz w:val="20"/>
          <w:szCs w:val="20"/>
          <w:u w:val="single"/>
        </w:rPr>
        <w:t>par. 285</w:t>
      </w:r>
      <w:r w:rsidR="004A048A">
        <w:rPr>
          <w:rFonts w:ascii="Arial" w:hAnsi="Arial" w:cs="Arial"/>
          <w:sz w:val="20"/>
          <w:szCs w:val="20"/>
        </w:rPr>
        <w:t>)</w:t>
      </w:r>
      <w:r w:rsidR="00D04757">
        <w:rPr>
          <w:rFonts w:ascii="Arial" w:hAnsi="Arial" w:cs="Arial"/>
          <w:sz w:val="20"/>
          <w:szCs w:val="20"/>
        </w:rPr>
        <w:t xml:space="preserve">. </w:t>
      </w:r>
      <w:r w:rsidR="006361E3">
        <w:rPr>
          <w:rFonts w:ascii="Arial" w:hAnsi="Arial" w:cs="Arial"/>
          <w:sz w:val="20"/>
          <w:szCs w:val="20"/>
        </w:rPr>
        <w:t xml:space="preserve">You agree to allow us to take the time we feel is necessary to create what we believe is a proper set of architectural documents for this project.  </w:t>
      </w:r>
      <w:r w:rsidR="002A6CB4"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sidR="006A049D">
        <w:rPr>
          <w:rFonts w:ascii="Arial" w:hAnsi="Arial" w:cs="Arial"/>
          <w:sz w:val="20"/>
          <w:szCs w:val="20"/>
        </w:rPr>
        <w:t xml:space="preserve"> You understand and agree to pay us for our </w:t>
      </w:r>
      <w:r w:rsidR="00002729">
        <w:rPr>
          <w:rFonts w:ascii="Arial" w:hAnsi="Arial" w:cs="Arial"/>
          <w:sz w:val="20"/>
          <w:szCs w:val="20"/>
        </w:rPr>
        <w:t>quality control on our own documents and coordinating</w:t>
      </w:r>
      <w:r w:rsidR="006A049D">
        <w:rPr>
          <w:rFonts w:ascii="Arial" w:hAnsi="Arial" w:cs="Arial"/>
          <w:sz w:val="20"/>
          <w:szCs w:val="20"/>
        </w:rPr>
        <w:t xml:space="preserve">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w:t>
      </w:r>
      <w:r w:rsidR="00002729">
        <w:rPr>
          <w:rFonts w:ascii="Arial" w:hAnsi="Arial" w:cs="Arial"/>
          <w:sz w:val="20"/>
          <w:szCs w:val="20"/>
        </w:rPr>
        <w:t xml:space="preserve">days, </w:t>
      </w:r>
      <w:r w:rsidR="006A049D">
        <w:rPr>
          <w:rFonts w:ascii="Arial" w:hAnsi="Arial" w:cs="Arial"/>
          <w:sz w:val="20"/>
          <w:szCs w:val="20"/>
        </w:rPr>
        <w:t xml:space="preserve">weeks (or in some cases, months), in which other disciplines will be performing work (such as Engineers), and before they issue their final documents, we will coordinate with them (if we know of their involvement and </w:t>
      </w:r>
      <w:r w:rsidR="00002729">
        <w:rPr>
          <w:rFonts w:ascii="Arial" w:hAnsi="Arial" w:cs="Arial"/>
          <w:sz w:val="20"/>
          <w:szCs w:val="20"/>
        </w:rPr>
        <w:t xml:space="preserve">that </w:t>
      </w:r>
      <w:r w:rsidR="006A049D">
        <w:rPr>
          <w:rFonts w:ascii="Arial" w:hAnsi="Arial" w:cs="Arial"/>
          <w:sz w:val="20"/>
          <w:szCs w:val="20"/>
        </w:rPr>
        <w:t xml:space="preserve">they are required to coordinate with us).  This means that </w:t>
      </w:r>
      <w:r w:rsidR="00206A3C">
        <w:rPr>
          <w:rFonts w:ascii="Arial" w:hAnsi="Arial" w:cs="Arial"/>
          <w:sz w:val="20"/>
          <w:szCs w:val="20"/>
        </w:rPr>
        <w:t>you</w:t>
      </w:r>
      <w:r w:rsidR="006A049D">
        <w:rPr>
          <w:rFonts w:ascii="Arial" w:hAnsi="Arial" w:cs="Arial"/>
          <w:sz w:val="20"/>
          <w:szCs w:val="20"/>
        </w:rPr>
        <w:t xml:space="preserve"> will </w:t>
      </w:r>
      <w:r w:rsidR="007F174C">
        <w:rPr>
          <w:rFonts w:ascii="Arial" w:hAnsi="Arial" w:cs="Arial"/>
          <w:sz w:val="20"/>
          <w:szCs w:val="20"/>
        </w:rPr>
        <w:t xml:space="preserve">likely </w:t>
      </w:r>
      <w:r w:rsidR="006A049D">
        <w:rPr>
          <w:rFonts w:ascii="Arial" w:hAnsi="Arial" w:cs="Arial"/>
          <w:sz w:val="20"/>
          <w:szCs w:val="20"/>
        </w:rPr>
        <w:t xml:space="preserve">receive </w:t>
      </w:r>
      <w:r w:rsidR="007F174C">
        <w:rPr>
          <w:rFonts w:ascii="Arial" w:hAnsi="Arial" w:cs="Arial"/>
          <w:sz w:val="20"/>
          <w:szCs w:val="20"/>
        </w:rPr>
        <w:t xml:space="preserve">another </w:t>
      </w:r>
      <w:r w:rsidR="006A049D">
        <w:rPr>
          <w:rFonts w:ascii="Arial" w:hAnsi="Arial" w:cs="Arial"/>
          <w:sz w:val="20"/>
          <w:szCs w:val="20"/>
        </w:rPr>
        <w:t xml:space="preserve">invoice from us for this coordination, before we have removed the Not </w:t>
      </w:r>
      <w:proofErr w:type="gramStart"/>
      <w:r w:rsidR="006A049D">
        <w:rPr>
          <w:rFonts w:ascii="Arial" w:hAnsi="Arial" w:cs="Arial"/>
          <w:sz w:val="20"/>
          <w:szCs w:val="20"/>
        </w:rPr>
        <w:t>For</w:t>
      </w:r>
      <w:proofErr w:type="gramEnd"/>
      <w:r w:rsidR="006A049D">
        <w:rPr>
          <w:rFonts w:ascii="Arial" w:hAnsi="Arial" w:cs="Arial"/>
          <w:sz w:val="20"/>
          <w:szCs w:val="20"/>
        </w:rPr>
        <w:t xml:space="preserve"> Construction notice on our documents</w:t>
      </w:r>
      <w:r w:rsidR="00A656AC">
        <w:rPr>
          <w:rFonts w:ascii="Arial" w:hAnsi="Arial" w:cs="Arial"/>
          <w:sz w:val="20"/>
          <w:szCs w:val="20"/>
        </w:rPr>
        <w:t xml:space="preserve"> (or in some cases immediately after)</w:t>
      </w:r>
      <w:r w:rsidR="00BF27E3">
        <w:rPr>
          <w:rFonts w:ascii="Arial" w:hAnsi="Arial" w:cs="Arial"/>
          <w:sz w:val="20"/>
          <w:szCs w:val="20"/>
        </w:rPr>
        <w:t>.</w:t>
      </w:r>
      <w:r w:rsidR="002A6CB4" w:rsidRPr="00C33482">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lastRenderedPageBreak/>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902616" w:rsidRPr="00B1617E">
        <w:rPr>
          <w:rFonts w:ascii="Arial" w:hAnsi="Arial" w:cs="Arial"/>
          <w:sz w:val="20"/>
          <w:szCs w:val="20"/>
        </w:rPr>
        <w:t xml:space="preserve">  </w:t>
      </w:r>
      <w:r w:rsidRPr="00B1617E">
        <w:rPr>
          <w:rFonts w:ascii="Arial" w:hAnsi="Arial" w:cs="Arial"/>
          <w:sz w:val="20"/>
          <w:szCs w:val="20"/>
        </w:rPr>
        <w:t xml:space="preserve">  </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xml:space="preserve">,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w:t>
      </w:r>
      <w:r w:rsidR="00457A2D" w:rsidRPr="008F1908">
        <w:rPr>
          <w:rFonts w:ascii="Arial" w:hAnsi="Arial" w:cs="Arial"/>
          <w:sz w:val="20"/>
          <w:szCs w:val="20"/>
        </w:rPr>
        <w:lastRenderedPageBreak/>
        <w:t>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 xml:space="preserve">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t>
      </w:r>
      <w:r w:rsidR="00300284" w:rsidRPr="00B1617E">
        <w:rPr>
          <w:rFonts w:ascii="Arial" w:hAnsi="Arial" w:cs="Arial"/>
          <w:sz w:val="20"/>
          <w:szCs w:val="20"/>
        </w:rPr>
        <w:lastRenderedPageBreak/>
        <w:t>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lastRenderedPageBreak/>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Make sure that you are the one to send a list of your requirements to the Surveyor and Soils Consultant before they quote a fee to the Client.  ArCH will be publishing and making available related documents to assist you in this regard, on the ArCHstore, under ArCHforms</w:t>
      </w:r>
      <w:r w:rsidR="003A3429">
        <w:rPr>
          <w:rFonts w:ascii="Arial" w:hAnsi="Arial" w:cs="Arial"/>
          <w:color w:val="FF0000"/>
          <w:sz w:val="20"/>
          <w:szCs w:val="20"/>
        </w:rPr>
        <w:t>, at some point</w:t>
      </w:r>
      <w:r w:rsidR="00454537">
        <w:rPr>
          <w:rFonts w:ascii="Arial" w:hAnsi="Arial" w:cs="Arial"/>
          <w:color w:val="FF0000"/>
          <w:sz w:val="20"/>
          <w:szCs w:val="20"/>
        </w:rPr>
        <w:t xml:space="preserve">.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30" w:rsidRDefault="00166130">
      <w:r>
        <w:separator/>
      </w:r>
    </w:p>
  </w:endnote>
  <w:endnote w:type="continuationSeparator" w:id="0">
    <w:p w:rsidR="00166130" w:rsidRDefault="0016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7320E7">
      <w:rPr>
        <w:rFonts w:ascii="Arial" w:hAnsi="Arial" w:cs="Arial"/>
        <w:sz w:val="18"/>
        <w:szCs w:val="20"/>
      </w:rPr>
      <w:t>5</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7320E7">
      <w:rPr>
        <w:rFonts w:ascii="Arial" w:hAnsi="Arial" w:cs="Arial"/>
        <w:noProof/>
        <w:sz w:val="18"/>
        <w:szCs w:val="20"/>
      </w:rPr>
      <w:t>7/16/2017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7320E7">
      <w:rPr>
        <w:rFonts w:ascii="Arial" w:hAnsi="Arial" w:cs="Arial"/>
        <w:noProof/>
        <w:sz w:val="18"/>
        <w:szCs w:val="20"/>
      </w:rPr>
      <w:t>10:04 AM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6D5595">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30" w:rsidRDefault="00166130">
      <w:r>
        <w:separator/>
      </w:r>
    </w:p>
  </w:footnote>
  <w:footnote w:type="continuationSeparator" w:id="0">
    <w:p w:rsidR="00166130" w:rsidRDefault="00166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4C9E"/>
    <w:rsid w:val="000A5001"/>
    <w:rsid w:val="000A599B"/>
    <w:rsid w:val="000A79F5"/>
    <w:rsid w:val="000B04E8"/>
    <w:rsid w:val="000B096B"/>
    <w:rsid w:val="000B20B6"/>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7E6"/>
    <w:rsid w:val="003B00A6"/>
    <w:rsid w:val="003B0966"/>
    <w:rsid w:val="003B335D"/>
    <w:rsid w:val="003B3820"/>
    <w:rsid w:val="003B586A"/>
    <w:rsid w:val="003B58BB"/>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5301"/>
    <w:rsid w:val="008C6B8E"/>
    <w:rsid w:val="008D0854"/>
    <w:rsid w:val="008D1849"/>
    <w:rsid w:val="008D3F45"/>
    <w:rsid w:val="008D6013"/>
    <w:rsid w:val="008D695E"/>
    <w:rsid w:val="008D75C8"/>
    <w:rsid w:val="008D7B67"/>
    <w:rsid w:val="008E135D"/>
    <w:rsid w:val="008E22D0"/>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65118-E281-44AD-A2A4-F6CE4B59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18667</Words>
  <Characters>106404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3</cp:revision>
  <cp:lastPrinted>2012-04-10T21:04:00Z</cp:lastPrinted>
  <dcterms:created xsi:type="dcterms:W3CDTF">2017-07-16T14:07:00Z</dcterms:created>
  <dcterms:modified xsi:type="dcterms:W3CDTF">2017-07-16T14:08:00Z</dcterms:modified>
</cp:coreProperties>
</file>